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5D9" w:rsidRDefault="00C115D9" w:rsidP="00C115D9">
      <w:pPr>
        <w:spacing w:line="360" w:lineRule="auto"/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Федеральная налоговая служба в связи с обращениями налогоплательщиков и территориальных налоговых органов по вопросу уплаты </w:t>
      </w:r>
      <w:proofErr w:type="gramStart"/>
      <w:r>
        <w:rPr>
          <w:sz w:val="28"/>
          <w:szCs w:val="28"/>
        </w:rPr>
        <w:t>акциза</w:t>
      </w:r>
      <w:proofErr w:type="gramEnd"/>
      <w:r>
        <w:rPr>
          <w:sz w:val="28"/>
          <w:szCs w:val="28"/>
        </w:rPr>
        <w:t xml:space="preserve"> в случае повторной реализации возвращенной покупателем алкогольной продукции сообщает следующее.</w:t>
      </w:r>
    </w:p>
    <w:p w:rsidR="00C115D9" w:rsidRDefault="00C115D9" w:rsidP="00C115D9">
      <w:pPr>
        <w:spacing w:line="360" w:lineRule="auto"/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подпунктом 1 пункта 1 статьи 182 Налогового кодекса Российской Федерации (далее – Налоговый кодекс) реализация на территории Российской Федерации лицами произведенных ими подакцизных товаров признана объектом налогообложения акцизами.</w:t>
      </w:r>
    </w:p>
    <w:p w:rsidR="00C115D9" w:rsidRDefault="00C115D9" w:rsidP="00C115D9">
      <w:pPr>
        <w:spacing w:line="360" w:lineRule="auto"/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>Пунктом 2 статьи 195 Налогового кодекса установлено, что дата реализации подакцизных товаров определяется как день отгрузки подакцизных товаров.</w:t>
      </w:r>
    </w:p>
    <w:p w:rsidR="00C115D9" w:rsidRDefault="00C115D9" w:rsidP="00C115D9">
      <w:pPr>
        <w:spacing w:line="360" w:lineRule="auto"/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>Согласно пункту 5 статьи 200 Налогового кодекса вычетам подлежат суммы акциза, уплаченные налогоплательщиком, в случае возврата покупателем подакцизных товаров (в том числе возврата в течение гарантийного срока) или отказа от них, за исключением алкогольной и (или) подакцизной спиртосодержащей продукции.</w:t>
      </w:r>
    </w:p>
    <w:p w:rsidR="00C115D9" w:rsidRDefault="00C115D9" w:rsidP="00C115D9">
      <w:pPr>
        <w:spacing w:line="360" w:lineRule="auto"/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14 статьи 187 Налогового кодекса налоговая база, исчисленная налогоплательщиком по операциям реализации произведенной им алкогольной и (или) подакцизной спиртосодержащей продукции, на объем указанной продукции, возвращенной покупателем, не уменьшается.</w:t>
      </w:r>
    </w:p>
    <w:p w:rsidR="00C115D9" w:rsidRDefault="00C115D9" w:rsidP="00C115D9">
      <w:pPr>
        <w:spacing w:line="360" w:lineRule="auto"/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при осуществлении повторной реализации возвращенной покупателем алкогольной продукции у налогоплательщика – производителя алкогольной продукции возникает объект налогообложения акцизами при отсутствии права на вычет акциза, уплаченного при первоначальной реализации такой алкогольной продукции.</w:t>
      </w:r>
    </w:p>
    <w:p w:rsidR="005D1D77" w:rsidRDefault="005D1D77">
      <w:bookmarkStart w:id="0" w:name="_GoBack"/>
      <w:bookmarkEnd w:id="0"/>
    </w:p>
    <w:sectPr w:rsidR="005D1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5D9"/>
    <w:rsid w:val="005D1D77"/>
    <w:rsid w:val="007C6D72"/>
    <w:rsid w:val="00C1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5D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C6D72"/>
    <w:pPr>
      <w:tabs>
        <w:tab w:val="center" w:pos="4607"/>
      </w:tabs>
      <w:snapToGrid/>
      <w:spacing w:line="360" w:lineRule="auto"/>
      <w:jc w:val="center"/>
    </w:pPr>
    <w:rPr>
      <w:b/>
      <w:sz w:val="24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Название Знак"/>
    <w:basedOn w:val="a0"/>
    <w:link w:val="a3"/>
    <w:rsid w:val="007C6D72"/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No Spacing"/>
    <w:qFormat/>
    <w:rsid w:val="007C6D72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5D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C6D72"/>
    <w:pPr>
      <w:tabs>
        <w:tab w:val="center" w:pos="4607"/>
      </w:tabs>
      <w:snapToGrid/>
      <w:spacing w:line="360" w:lineRule="auto"/>
      <w:jc w:val="center"/>
    </w:pPr>
    <w:rPr>
      <w:b/>
      <w:sz w:val="24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Название Знак"/>
    <w:basedOn w:val="a0"/>
    <w:link w:val="a3"/>
    <w:rsid w:val="007C6D72"/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No Spacing"/>
    <w:qFormat/>
    <w:rsid w:val="007C6D7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0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2016-10-31T06:54:00Z</dcterms:created>
  <dcterms:modified xsi:type="dcterms:W3CDTF">2016-10-31T06:57:00Z</dcterms:modified>
</cp:coreProperties>
</file>