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BB" w:rsidRPr="00B47A26" w:rsidRDefault="00FE3ABB" w:rsidP="00665014">
      <w:pPr>
        <w:jc w:val="both"/>
        <w:rPr>
          <w:sz w:val="28"/>
          <w:szCs w:val="28"/>
        </w:rPr>
      </w:pPr>
    </w:p>
    <w:p w:rsidR="00FE3ABB" w:rsidRPr="00B47A26" w:rsidRDefault="00FE3ABB" w:rsidP="00665014">
      <w:pPr>
        <w:jc w:val="both"/>
        <w:rPr>
          <w:sz w:val="28"/>
          <w:szCs w:val="28"/>
        </w:rPr>
      </w:pPr>
    </w:p>
    <w:p w:rsidR="00B47A26" w:rsidRPr="00B47A26" w:rsidRDefault="00B47A26" w:rsidP="00B47A26">
      <w:pPr>
        <w:overflowPunct/>
        <w:autoSpaceDE/>
        <w:autoSpaceDN/>
        <w:adjustRightInd/>
        <w:textAlignment w:val="auto"/>
        <w:outlineLvl w:val="2"/>
        <w:rPr>
          <w:lang w:eastAsia="en-US"/>
        </w:rPr>
      </w:pPr>
      <w:r w:rsidRPr="00B47A26">
        <w:rPr>
          <w:lang w:eastAsia="en-US"/>
        </w:rPr>
        <w:t>О программе стимулирования</w:t>
      </w:r>
    </w:p>
    <w:p w:rsidR="00B47A26" w:rsidRPr="00B47A26" w:rsidRDefault="00B47A26" w:rsidP="00B47A26">
      <w:pPr>
        <w:overflowPunct/>
        <w:autoSpaceDE/>
        <w:autoSpaceDN/>
        <w:adjustRightInd/>
        <w:textAlignment w:val="auto"/>
        <w:outlineLvl w:val="2"/>
        <w:rPr>
          <w:lang w:eastAsia="en-US"/>
        </w:rPr>
      </w:pPr>
      <w:r w:rsidRPr="00B47A26">
        <w:rPr>
          <w:lang w:eastAsia="en-US"/>
        </w:rPr>
        <w:t>кредитования субъектов малого</w:t>
      </w:r>
    </w:p>
    <w:p w:rsidR="00B47A26" w:rsidRPr="00B47A26" w:rsidRDefault="00B47A26" w:rsidP="00B47A26">
      <w:pPr>
        <w:overflowPunct/>
        <w:autoSpaceDE/>
        <w:autoSpaceDN/>
        <w:adjustRightInd/>
        <w:textAlignment w:val="auto"/>
        <w:outlineLvl w:val="2"/>
        <w:rPr>
          <w:lang w:eastAsia="en-US"/>
        </w:rPr>
      </w:pPr>
      <w:r w:rsidRPr="00B47A26">
        <w:rPr>
          <w:lang w:eastAsia="en-US"/>
        </w:rPr>
        <w:t xml:space="preserve">и среднего предпринимательства </w:t>
      </w:r>
    </w:p>
    <w:p w:rsidR="00B47A26" w:rsidRPr="00B47A26" w:rsidRDefault="00B47A26" w:rsidP="00B47A26">
      <w:pPr>
        <w:tabs>
          <w:tab w:val="left" w:pos="2595"/>
        </w:tabs>
        <w:overflowPunct/>
        <w:autoSpaceDE/>
        <w:autoSpaceDN/>
        <w:adjustRightInd/>
        <w:textAlignment w:val="auto"/>
        <w:outlineLvl w:val="2"/>
        <w:rPr>
          <w:lang w:eastAsia="en-US"/>
        </w:rPr>
      </w:pPr>
      <w:r w:rsidRPr="00B47A26">
        <w:rPr>
          <w:lang w:eastAsia="en-US"/>
        </w:rPr>
        <w:tab/>
      </w:r>
    </w:p>
    <w:p w:rsidR="00B47A26" w:rsidRPr="00B47A26" w:rsidRDefault="00B47A26" w:rsidP="00B47A26">
      <w:pPr>
        <w:overflowPunct/>
        <w:autoSpaceDE/>
        <w:autoSpaceDN/>
        <w:adjustRightInd/>
        <w:textAlignment w:val="auto"/>
        <w:outlineLvl w:val="2"/>
        <w:rPr>
          <w:b/>
          <w:sz w:val="28"/>
          <w:szCs w:val="28"/>
          <w:lang w:eastAsia="en-US"/>
        </w:rPr>
      </w:pPr>
    </w:p>
    <w:p w:rsidR="00B47A26" w:rsidRPr="00B47A26" w:rsidRDefault="00B47A26" w:rsidP="00B47A26">
      <w:pPr>
        <w:overflowPunct/>
        <w:autoSpaceDE/>
        <w:autoSpaceDN/>
        <w:adjustRightInd/>
        <w:ind w:left="-142"/>
        <w:jc w:val="center"/>
        <w:textAlignment w:val="auto"/>
        <w:outlineLvl w:val="2"/>
        <w:rPr>
          <w:b/>
          <w:sz w:val="28"/>
          <w:szCs w:val="28"/>
          <w:lang w:eastAsia="en-US"/>
        </w:rPr>
      </w:pPr>
    </w:p>
    <w:p w:rsidR="00B47A26" w:rsidRPr="00B47A26" w:rsidRDefault="00B47A26" w:rsidP="00B47A26">
      <w:pPr>
        <w:overflowPunct/>
        <w:autoSpaceDE/>
        <w:autoSpaceDN/>
        <w:adjustRightInd/>
        <w:ind w:left="-142" w:firstLine="708"/>
        <w:jc w:val="both"/>
        <w:textAlignment w:val="auto"/>
        <w:rPr>
          <w:color w:val="000000"/>
          <w:sz w:val="28"/>
          <w:szCs w:val="24"/>
        </w:rPr>
      </w:pPr>
      <w:r w:rsidRPr="00B47A26">
        <w:rPr>
          <w:color w:val="222222"/>
          <w:sz w:val="28"/>
          <w:szCs w:val="24"/>
        </w:rPr>
        <w:t>АО «Федеральная корпорация по развитию малого и среднего предпринимательства»</w:t>
      </w:r>
      <w:r>
        <w:rPr>
          <w:color w:val="222222"/>
          <w:sz w:val="28"/>
          <w:szCs w:val="24"/>
        </w:rPr>
        <w:t xml:space="preserve"> </w:t>
      </w:r>
      <w:r w:rsidRPr="00B47A26">
        <w:rPr>
          <w:color w:val="000000"/>
          <w:sz w:val="28"/>
          <w:szCs w:val="24"/>
        </w:rPr>
        <w:t>(далее – Корпорация) совместно с Центральным банком  Российской Федерации (далее – ЦБ РФ) разработана и утверждена Программа стимулирования кредитования субъектов малого и среднего предпринимательства (далее – Программа). В соответствии с Программой банки предоставляют субъектам малого и среднего предпринимательства (далее – СМСП) кредиты с льготной процентной ставкой. К участию в Программе отобраны следующие кредитные организации, имеющие подразделения в Республике Татарстан:</w:t>
      </w:r>
    </w:p>
    <w:p w:rsidR="00B47A26" w:rsidRPr="00B47A26" w:rsidRDefault="00B47A26" w:rsidP="00B47A26">
      <w:pPr>
        <w:overflowPunct/>
        <w:autoSpaceDE/>
        <w:autoSpaceDN/>
        <w:adjustRightInd/>
        <w:ind w:left="-142" w:firstLine="709"/>
        <w:jc w:val="both"/>
        <w:textAlignment w:val="auto"/>
        <w:rPr>
          <w:color w:val="000000"/>
          <w:sz w:val="28"/>
          <w:szCs w:val="24"/>
        </w:rPr>
      </w:pPr>
      <w:bookmarkStart w:id="0" w:name="_GoBack"/>
      <w:r w:rsidRPr="00B47A26">
        <w:rPr>
          <w:color w:val="000000"/>
          <w:sz w:val="28"/>
          <w:szCs w:val="24"/>
        </w:rPr>
        <w:t>1.ОАО «Сбербанк России»;</w:t>
      </w:r>
    </w:p>
    <w:p w:rsidR="00B47A26" w:rsidRPr="00B47A26" w:rsidRDefault="00B47A26" w:rsidP="00B47A26">
      <w:pPr>
        <w:overflowPunct/>
        <w:autoSpaceDE/>
        <w:autoSpaceDN/>
        <w:adjustRightInd/>
        <w:ind w:left="-142" w:firstLine="709"/>
        <w:jc w:val="both"/>
        <w:textAlignment w:val="auto"/>
        <w:rPr>
          <w:color w:val="000000"/>
          <w:sz w:val="28"/>
          <w:szCs w:val="24"/>
        </w:rPr>
      </w:pPr>
      <w:r w:rsidRPr="00B47A26">
        <w:rPr>
          <w:color w:val="000000"/>
          <w:sz w:val="28"/>
          <w:szCs w:val="24"/>
        </w:rPr>
        <w:t>2. ОАО Банк ВТБ;</w:t>
      </w:r>
    </w:p>
    <w:p w:rsidR="00B47A26" w:rsidRPr="00B47A26" w:rsidRDefault="00B47A26" w:rsidP="00B47A26">
      <w:pPr>
        <w:overflowPunct/>
        <w:autoSpaceDE/>
        <w:autoSpaceDN/>
        <w:adjustRightInd/>
        <w:ind w:left="-142" w:firstLine="709"/>
        <w:jc w:val="both"/>
        <w:textAlignment w:val="auto"/>
        <w:rPr>
          <w:color w:val="000000"/>
          <w:sz w:val="28"/>
          <w:szCs w:val="24"/>
        </w:rPr>
      </w:pPr>
      <w:r w:rsidRPr="00B47A26">
        <w:rPr>
          <w:color w:val="000000"/>
          <w:sz w:val="28"/>
          <w:szCs w:val="24"/>
        </w:rPr>
        <w:t>3. ОАО «</w:t>
      </w:r>
      <w:proofErr w:type="spellStart"/>
      <w:r w:rsidRPr="00B47A26">
        <w:rPr>
          <w:color w:val="000000"/>
          <w:sz w:val="28"/>
          <w:szCs w:val="24"/>
        </w:rPr>
        <w:t>Россельхозбанк</w:t>
      </w:r>
      <w:proofErr w:type="spellEnd"/>
      <w:r w:rsidRPr="00B47A26">
        <w:rPr>
          <w:color w:val="000000"/>
          <w:sz w:val="28"/>
          <w:szCs w:val="24"/>
        </w:rPr>
        <w:t>»;</w:t>
      </w:r>
    </w:p>
    <w:p w:rsidR="00B47A26" w:rsidRPr="00B47A26" w:rsidRDefault="00B47A26" w:rsidP="00B47A26">
      <w:pPr>
        <w:overflowPunct/>
        <w:autoSpaceDE/>
        <w:autoSpaceDN/>
        <w:adjustRightInd/>
        <w:ind w:left="-142" w:firstLine="709"/>
        <w:jc w:val="both"/>
        <w:textAlignment w:val="auto"/>
        <w:rPr>
          <w:color w:val="000000"/>
          <w:sz w:val="28"/>
          <w:szCs w:val="24"/>
        </w:rPr>
      </w:pPr>
      <w:r w:rsidRPr="00B47A26">
        <w:rPr>
          <w:color w:val="000000"/>
          <w:sz w:val="28"/>
          <w:szCs w:val="24"/>
        </w:rPr>
        <w:t>4. ПАО «Промсвязьбанк»;</w:t>
      </w:r>
    </w:p>
    <w:p w:rsidR="00B47A26" w:rsidRPr="00B47A26" w:rsidRDefault="00B47A26" w:rsidP="00B47A26">
      <w:pPr>
        <w:overflowPunct/>
        <w:autoSpaceDE/>
        <w:autoSpaceDN/>
        <w:adjustRightInd/>
        <w:ind w:left="-142" w:firstLine="709"/>
        <w:jc w:val="both"/>
        <w:textAlignment w:val="auto"/>
        <w:rPr>
          <w:color w:val="000000"/>
          <w:sz w:val="28"/>
          <w:szCs w:val="24"/>
        </w:rPr>
      </w:pPr>
      <w:r w:rsidRPr="00B47A26">
        <w:rPr>
          <w:color w:val="000000"/>
          <w:sz w:val="28"/>
          <w:szCs w:val="24"/>
        </w:rPr>
        <w:t>5. ОАО «Альфа-Банк»;</w:t>
      </w:r>
    </w:p>
    <w:p w:rsidR="00B47A26" w:rsidRPr="00B47A26" w:rsidRDefault="00B47A26" w:rsidP="00B47A26">
      <w:pPr>
        <w:overflowPunct/>
        <w:autoSpaceDE/>
        <w:autoSpaceDN/>
        <w:adjustRightInd/>
        <w:ind w:left="-142" w:firstLine="709"/>
        <w:jc w:val="both"/>
        <w:textAlignment w:val="auto"/>
        <w:rPr>
          <w:color w:val="000000"/>
          <w:sz w:val="28"/>
          <w:szCs w:val="24"/>
        </w:rPr>
      </w:pPr>
      <w:r w:rsidRPr="00B47A26">
        <w:rPr>
          <w:color w:val="000000"/>
          <w:sz w:val="28"/>
          <w:szCs w:val="24"/>
        </w:rPr>
        <w:t>6. Банк ГПБ (АО);</w:t>
      </w:r>
    </w:p>
    <w:p w:rsidR="00B47A26" w:rsidRPr="00B47A26" w:rsidRDefault="00B47A26" w:rsidP="00B47A26">
      <w:pPr>
        <w:overflowPunct/>
        <w:autoSpaceDE/>
        <w:autoSpaceDN/>
        <w:adjustRightInd/>
        <w:ind w:left="-142" w:firstLine="709"/>
        <w:jc w:val="both"/>
        <w:textAlignment w:val="auto"/>
        <w:rPr>
          <w:color w:val="000000"/>
          <w:sz w:val="28"/>
          <w:szCs w:val="24"/>
        </w:rPr>
      </w:pPr>
      <w:r w:rsidRPr="00B47A26">
        <w:rPr>
          <w:color w:val="000000"/>
          <w:sz w:val="28"/>
          <w:szCs w:val="24"/>
        </w:rPr>
        <w:t>7. ПАО Росбанк;</w:t>
      </w:r>
    </w:p>
    <w:p w:rsidR="00B47A26" w:rsidRPr="00B47A26" w:rsidRDefault="00B47A26" w:rsidP="00B47A26">
      <w:pPr>
        <w:overflowPunct/>
        <w:autoSpaceDE/>
        <w:autoSpaceDN/>
        <w:adjustRightInd/>
        <w:ind w:left="-142" w:firstLine="709"/>
        <w:jc w:val="both"/>
        <w:textAlignment w:val="auto"/>
        <w:rPr>
          <w:color w:val="000000"/>
          <w:sz w:val="28"/>
          <w:szCs w:val="24"/>
        </w:rPr>
      </w:pPr>
      <w:r w:rsidRPr="00B47A26">
        <w:rPr>
          <w:color w:val="000000"/>
          <w:sz w:val="28"/>
          <w:szCs w:val="24"/>
        </w:rPr>
        <w:t>8. АО «Райффайзенбанк»;</w:t>
      </w:r>
    </w:p>
    <w:p w:rsidR="00B47A26" w:rsidRPr="00B47A26" w:rsidRDefault="00B47A26" w:rsidP="00B47A26">
      <w:pPr>
        <w:overflowPunct/>
        <w:autoSpaceDE/>
        <w:autoSpaceDN/>
        <w:adjustRightInd/>
        <w:ind w:left="-142" w:firstLine="709"/>
        <w:jc w:val="both"/>
        <w:textAlignment w:val="auto"/>
        <w:rPr>
          <w:color w:val="000000"/>
          <w:sz w:val="28"/>
          <w:szCs w:val="24"/>
        </w:rPr>
      </w:pPr>
      <w:r w:rsidRPr="00B47A26">
        <w:rPr>
          <w:color w:val="000000"/>
          <w:sz w:val="28"/>
          <w:szCs w:val="24"/>
        </w:rPr>
        <w:t>9. ОАО «Банк Москвы»;</w:t>
      </w:r>
    </w:p>
    <w:p w:rsidR="00B47A26" w:rsidRPr="00B47A26" w:rsidRDefault="00B47A26" w:rsidP="00B47A26">
      <w:pPr>
        <w:overflowPunct/>
        <w:autoSpaceDE/>
        <w:autoSpaceDN/>
        <w:adjustRightInd/>
        <w:ind w:left="-142" w:firstLine="709"/>
        <w:jc w:val="both"/>
        <w:textAlignment w:val="auto"/>
        <w:rPr>
          <w:color w:val="000000"/>
          <w:sz w:val="28"/>
          <w:szCs w:val="24"/>
        </w:rPr>
      </w:pPr>
      <w:r w:rsidRPr="00B47A26">
        <w:rPr>
          <w:color w:val="000000"/>
          <w:sz w:val="28"/>
          <w:szCs w:val="24"/>
        </w:rPr>
        <w:t>10. ПАО Банк «ФК Открытие»;</w:t>
      </w:r>
    </w:p>
    <w:p w:rsidR="00B47A26" w:rsidRPr="00B47A26" w:rsidRDefault="00B47A26" w:rsidP="00B47A26">
      <w:pPr>
        <w:overflowPunct/>
        <w:autoSpaceDE/>
        <w:autoSpaceDN/>
        <w:adjustRightInd/>
        <w:ind w:left="-142" w:firstLine="709"/>
        <w:jc w:val="both"/>
        <w:textAlignment w:val="auto"/>
        <w:rPr>
          <w:color w:val="000000"/>
          <w:sz w:val="28"/>
          <w:szCs w:val="24"/>
        </w:rPr>
      </w:pPr>
      <w:r w:rsidRPr="00B47A26">
        <w:rPr>
          <w:color w:val="000000"/>
          <w:sz w:val="28"/>
          <w:szCs w:val="24"/>
        </w:rPr>
        <w:t>11. ВТБ 24 (ПАО).</w:t>
      </w:r>
    </w:p>
    <w:p w:rsidR="00B47A26" w:rsidRPr="00B47A26" w:rsidRDefault="00B47A26" w:rsidP="00B47A26">
      <w:pPr>
        <w:overflowPunct/>
        <w:autoSpaceDE/>
        <w:autoSpaceDN/>
        <w:adjustRightInd/>
        <w:ind w:left="-142" w:firstLine="708"/>
        <w:jc w:val="both"/>
        <w:textAlignment w:val="auto"/>
        <w:rPr>
          <w:color w:val="000000"/>
          <w:sz w:val="28"/>
          <w:szCs w:val="24"/>
        </w:rPr>
      </w:pPr>
      <w:r w:rsidRPr="00B47A26">
        <w:rPr>
          <w:color w:val="000000"/>
          <w:sz w:val="28"/>
          <w:szCs w:val="24"/>
        </w:rPr>
        <w:t>Предоставляемые кредиты являются целевыми и могут быть использованы исключительно для приобретения основных средств, модернизации и реконструкции производства, запуска новых проектов или мероприятий, согласованных конечным заемщиком с банком (в случае кредитов, предоставляемых для пополнения оборотных средств СМСП).</w:t>
      </w:r>
    </w:p>
    <w:p w:rsidR="00B47A26" w:rsidRPr="00B47A26" w:rsidRDefault="00B47A26" w:rsidP="00B47A26">
      <w:pPr>
        <w:overflowPunct/>
        <w:autoSpaceDE/>
        <w:autoSpaceDN/>
        <w:adjustRightInd/>
        <w:jc w:val="both"/>
        <w:textAlignment w:val="auto"/>
        <w:rPr>
          <w:rFonts w:eastAsiaTheme="minorHAnsi"/>
          <w:b/>
          <w:sz w:val="28"/>
          <w:szCs w:val="24"/>
          <w:lang w:eastAsia="en-US"/>
        </w:rPr>
      </w:pPr>
    </w:p>
    <w:p w:rsidR="00B47A26" w:rsidRPr="00B47A26" w:rsidRDefault="00B47A26" w:rsidP="00B47A26">
      <w:pPr>
        <w:overflowPunct/>
        <w:autoSpaceDE/>
        <w:autoSpaceDN/>
        <w:adjustRightInd/>
        <w:jc w:val="both"/>
        <w:textAlignment w:val="auto"/>
        <w:rPr>
          <w:rFonts w:eastAsiaTheme="minorHAnsi"/>
          <w:b/>
          <w:sz w:val="28"/>
          <w:szCs w:val="24"/>
          <w:lang w:eastAsia="en-US"/>
        </w:rPr>
      </w:pPr>
      <w:r w:rsidRPr="00B47A26">
        <w:rPr>
          <w:rFonts w:eastAsiaTheme="minorHAnsi"/>
          <w:b/>
          <w:sz w:val="28"/>
          <w:szCs w:val="24"/>
          <w:lang w:eastAsia="en-US"/>
        </w:rPr>
        <w:t>Основные условия кредитования:</w:t>
      </w:r>
    </w:p>
    <w:p w:rsidR="00B47A26" w:rsidRPr="00B47A26" w:rsidRDefault="00B47A26" w:rsidP="00B47A26">
      <w:pPr>
        <w:numPr>
          <w:ilvl w:val="0"/>
          <w:numId w:val="2"/>
        </w:numPr>
        <w:overflowPunct/>
        <w:autoSpaceDE/>
        <w:autoSpaceDN/>
        <w:adjustRightInd/>
        <w:contextualSpacing/>
        <w:jc w:val="both"/>
        <w:textAlignment w:val="auto"/>
        <w:rPr>
          <w:rFonts w:eastAsia="Calibri"/>
          <w:sz w:val="28"/>
          <w:szCs w:val="24"/>
          <w:lang w:eastAsia="en-US"/>
        </w:rPr>
      </w:pPr>
      <w:r w:rsidRPr="00B47A26">
        <w:rPr>
          <w:rFonts w:eastAsia="Calibri"/>
          <w:b/>
          <w:sz w:val="28"/>
          <w:szCs w:val="24"/>
          <w:lang w:eastAsia="en-US"/>
        </w:rPr>
        <w:t xml:space="preserve">Размер кредита - </w:t>
      </w:r>
      <w:r w:rsidRPr="00B47A26">
        <w:rPr>
          <w:rFonts w:eastAsia="Calibri"/>
          <w:sz w:val="28"/>
          <w:szCs w:val="24"/>
          <w:lang w:eastAsia="en-US"/>
        </w:rPr>
        <w:t>не менее 50 млн. рублей и не более 1 млрд. рублей в одном банке (не более 4 млрд. руб. на одного заемщика в разных банках);</w:t>
      </w:r>
    </w:p>
    <w:p w:rsidR="00B47A26" w:rsidRPr="00B47A26" w:rsidRDefault="00B47A26" w:rsidP="00B47A26">
      <w:pPr>
        <w:numPr>
          <w:ilvl w:val="0"/>
          <w:numId w:val="2"/>
        </w:numPr>
        <w:overflowPunct/>
        <w:autoSpaceDE/>
        <w:autoSpaceDN/>
        <w:adjustRightInd/>
        <w:contextualSpacing/>
        <w:jc w:val="both"/>
        <w:textAlignment w:val="auto"/>
        <w:rPr>
          <w:rFonts w:eastAsia="Calibri"/>
          <w:sz w:val="28"/>
          <w:szCs w:val="24"/>
          <w:lang w:eastAsia="en-US"/>
        </w:rPr>
      </w:pPr>
      <w:r w:rsidRPr="00B47A26">
        <w:rPr>
          <w:rFonts w:eastAsia="Calibri"/>
          <w:b/>
          <w:sz w:val="28"/>
          <w:szCs w:val="24"/>
          <w:lang w:eastAsia="en-US"/>
        </w:rPr>
        <w:t>Срок кредита</w:t>
      </w:r>
      <w:r w:rsidRPr="00B47A26">
        <w:rPr>
          <w:rFonts w:eastAsia="Calibri"/>
          <w:sz w:val="28"/>
          <w:szCs w:val="24"/>
          <w:lang w:eastAsia="en-US"/>
        </w:rPr>
        <w:t xml:space="preserve"> – определяется банком;</w:t>
      </w:r>
    </w:p>
    <w:p w:rsidR="00B47A26" w:rsidRPr="00B47A26" w:rsidRDefault="00B47A26" w:rsidP="00B47A26">
      <w:pPr>
        <w:numPr>
          <w:ilvl w:val="0"/>
          <w:numId w:val="2"/>
        </w:numPr>
        <w:overflowPunct/>
        <w:autoSpaceDE/>
        <w:autoSpaceDN/>
        <w:adjustRightInd/>
        <w:contextualSpacing/>
        <w:jc w:val="both"/>
        <w:textAlignment w:val="auto"/>
        <w:rPr>
          <w:rFonts w:eastAsia="Calibri"/>
          <w:sz w:val="28"/>
          <w:szCs w:val="24"/>
          <w:lang w:eastAsia="en-US"/>
        </w:rPr>
      </w:pPr>
      <w:r w:rsidRPr="00B47A26">
        <w:rPr>
          <w:rFonts w:eastAsia="Calibri"/>
          <w:b/>
          <w:sz w:val="28"/>
          <w:szCs w:val="24"/>
          <w:lang w:eastAsia="en-US"/>
        </w:rPr>
        <w:t>Ставка процента</w:t>
      </w:r>
      <w:r w:rsidRPr="00B47A26">
        <w:rPr>
          <w:rFonts w:eastAsia="Calibri"/>
          <w:sz w:val="28"/>
          <w:szCs w:val="24"/>
          <w:lang w:eastAsia="en-US"/>
        </w:rPr>
        <w:t xml:space="preserve"> – 10% для субъектов среднего предпринимательства, 11% – для субъектов малого предпринимательства;</w:t>
      </w:r>
    </w:p>
    <w:p w:rsidR="00B47A26" w:rsidRPr="00B47A26" w:rsidRDefault="00B47A26" w:rsidP="00B47A26">
      <w:pPr>
        <w:numPr>
          <w:ilvl w:val="0"/>
          <w:numId w:val="2"/>
        </w:numPr>
        <w:overflowPunct/>
        <w:autoSpaceDE/>
        <w:autoSpaceDN/>
        <w:adjustRightInd/>
        <w:contextualSpacing/>
        <w:jc w:val="both"/>
        <w:textAlignment w:val="auto"/>
        <w:rPr>
          <w:rFonts w:eastAsia="Calibri"/>
          <w:sz w:val="28"/>
          <w:szCs w:val="24"/>
          <w:lang w:eastAsia="en-US" w:bidi="ru-RU"/>
        </w:rPr>
      </w:pPr>
      <w:r w:rsidRPr="00B47A26">
        <w:rPr>
          <w:rFonts w:eastAsia="Calibri"/>
          <w:b/>
          <w:sz w:val="28"/>
          <w:szCs w:val="24"/>
          <w:lang w:eastAsia="en-US"/>
        </w:rPr>
        <w:t xml:space="preserve">Валюта кредита - </w:t>
      </w:r>
      <w:r w:rsidRPr="00B47A26">
        <w:rPr>
          <w:rFonts w:eastAsia="Calibri"/>
          <w:sz w:val="28"/>
          <w:szCs w:val="24"/>
          <w:lang w:eastAsia="en-US" w:bidi="ru-RU"/>
        </w:rPr>
        <w:t>кредиты предоставляются в российских рублях;</w:t>
      </w:r>
    </w:p>
    <w:p w:rsidR="00B47A26" w:rsidRPr="00B47A26" w:rsidRDefault="00B47A26" w:rsidP="00B47A26">
      <w:pPr>
        <w:numPr>
          <w:ilvl w:val="0"/>
          <w:numId w:val="2"/>
        </w:numPr>
        <w:overflowPunct/>
        <w:autoSpaceDE/>
        <w:autoSpaceDN/>
        <w:adjustRightInd/>
        <w:contextualSpacing/>
        <w:jc w:val="both"/>
        <w:textAlignment w:val="auto"/>
        <w:rPr>
          <w:rFonts w:eastAsia="Calibri"/>
          <w:b/>
          <w:sz w:val="28"/>
          <w:szCs w:val="24"/>
          <w:lang w:eastAsia="en-US"/>
        </w:rPr>
      </w:pPr>
      <w:r w:rsidRPr="00B47A26">
        <w:rPr>
          <w:rFonts w:eastAsia="Calibri"/>
          <w:b/>
          <w:sz w:val="28"/>
          <w:szCs w:val="24"/>
          <w:lang w:eastAsia="en-US" w:bidi="ru-RU"/>
        </w:rPr>
        <w:t xml:space="preserve">Доля финансирования - </w:t>
      </w:r>
      <w:r w:rsidRPr="00B47A26">
        <w:rPr>
          <w:rFonts w:eastAsia="Calibri"/>
          <w:sz w:val="28"/>
          <w:szCs w:val="24"/>
          <w:lang w:eastAsia="en-US"/>
        </w:rPr>
        <w:t>доля финансирования инвестиционного проекта за счет заемных средств составляет не более 80% (в случае инвестиционных кредитов в размере более 500 млн. рублей).</w:t>
      </w:r>
    </w:p>
    <w:p w:rsidR="00B47A26" w:rsidRPr="00B47A26" w:rsidRDefault="00B47A26" w:rsidP="00B47A26">
      <w:pPr>
        <w:overflowPunct/>
        <w:autoSpaceDE/>
        <w:autoSpaceDN/>
        <w:adjustRightInd/>
        <w:ind w:firstLine="708"/>
        <w:jc w:val="both"/>
        <w:textAlignment w:val="auto"/>
        <w:rPr>
          <w:rFonts w:eastAsiaTheme="minorHAnsi"/>
          <w:sz w:val="28"/>
          <w:szCs w:val="24"/>
          <w:lang w:eastAsia="en-US"/>
        </w:rPr>
      </w:pPr>
      <w:r w:rsidRPr="00B47A26">
        <w:rPr>
          <w:rFonts w:eastAsiaTheme="minorHAnsi"/>
          <w:sz w:val="28"/>
          <w:szCs w:val="24"/>
          <w:lang w:eastAsia="en-US"/>
        </w:rPr>
        <w:t>В случае недостаточного собственного обеспечения СМСП может обеспечить недостающую часть залога гарантией Корпорации МСП и Гарантийного фонда Республики Татарстан (далее – Фонд).</w:t>
      </w:r>
    </w:p>
    <w:p w:rsidR="00B47A26" w:rsidRPr="00B47A26" w:rsidRDefault="00B47A26" w:rsidP="00B47A26">
      <w:pPr>
        <w:overflowPunct/>
        <w:autoSpaceDE/>
        <w:autoSpaceDN/>
        <w:adjustRightInd/>
        <w:jc w:val="both"/>
        <w:textAlignment w:val="auto"/>
        <w:rPr>
          <w:rFonts w:eastAsiaTheme="minorHAnsi"/>
          <w:b/>
          <w:sz w:val="28"/>
          <w:szCs w:val="24"/>
          <w:lang w:eastAsia="en-US"/>
        </w:rPr>
      </w:pPr>
    </w:p>
    <w:p w:rsidR="00B47A26" w:rsidRPr="00B47A26" w:rsidRDefault="00B47A26" w:rsidP="00B47A26">
      <w:pPr>
        <w:overflowPunct/>
        <w:autoSpaceDE/>
        <w:autoSpaceDN/>
        <w:adjustRightInd/>
        <w:jc w:val="both"/>
        <w:textAlignment w:val="auto"/>
        <w:rPr>
          <w:rFonts w:eastAsiaTheme="minorHAnsi"/>
          <w:b/>
          <w:sz w:val="28"/>
          <w:szCs w:val="24"/>
          <w:lang w:eastAsia="en-US"/>
        </w:rPr>
      </w:pPr>
      <w:r w:rsidRPr="00B47A26">
        <w:rPr>
          <w:rFonts w:eastAsiaTheme="minorHAnsi"/>
          <w:b/>
          <w:sz w:val="28"/>
          <w:szCs w:val="24"/>
          <w:lang w:eastAsia="en-US"/>
        </w:rPr>
        <w:t>Основные условия гарантии:</w:t>
      </w:r>
    </w:p>
    <w:p w:rsidR="00B47A26" w:rsidRPr="00B47A26" w:rsidRDefault="00B47A26" w:rsidP="00B47A26">
      <w:pPr>
        <w:numPr>
          <w:ilvl w:val="0"/>
          <w:numId w:val="2"/>
        </w:numPr>
        <w:overflowPunct/>
        <w:autoSpaceDE/>
        <w:autoSpaceDN/>
        <w:adjustRightInd/>
        <w:contextualSpacing/>
        <w:jc w:val="both"/>
        <w:textAlignment w:val="auto"/>
        <w:rPr>
          <w:rFonts w:eastAsia="Calibri"/>
          <w:sz w:val="28"/>
          <w:szCs w:val="24"/>
          <w:lang w:eastAsia="en-US"/>
        </w:rPr>
      </w:pPr>
      <w:r w:rsidRPr="00B47A26">
        <w:rPr>
          <w:rFonts w:eastAsia="Calibri"/>
          <w:b/>
          <w:sz w:val="28"/>
          <w:szCs w:val="24"/>
          <w:lang w:eastAsia="en-US"/>
        </w:rPr>
        <w:t xml:space="preserve">Сумма гарантии – </w:t>
      </w:r>
      <w:r w:rsidRPr="00B47A26">
        <w:rPr>
          <w:rFonts w:eastAsia="Calibri"/>
          <w:sz w:val="28"/>
          <w:szCs w:val="24"/>
          <w:lang w:eastAsia="en-US"/>
        </w:rPr>
        <w:t>до 1 млрд. рублей;</w:t>
      </w:r>
    </w:p>
    <w:p w:rsidR="00B47A26" w:rsidRPr="00B47A26" w:rsidRDefault="00B47A26" w:rsidP="00B47A26">
      <w:pPr>
        <w:numPr>
          <w:ilvl w:val="0"/>
          <w:numId w:val="2"/>
        </w:numPr>
        <w:overflowPunct/>
        <w:autoSpaceDE/>
        <w:autoSpaceDN/>
        <w:adjustRightInd/>
        <w:contextualSpacing/>
        <w:jc w:val="both"/>
        <w:textAlignment w:val="auto"/>
        <w:rPr>
          <w:rFonts w:eastAsia="Calibri"/>
          <w:sz w:val="28"/>
          <w:szCs w:val="24"/>
          <w:lang w:eastAsia="en-US"/>
        </w:rPr>
      </w:pPr>
      <w:r w:rsidRPr="00B47A26">
        <w:rPr>
          <w:rFonts w:eastAsia="Calibri"/>
          <w:b/>
          <w:sz w:val="28"/>
          <w:szCs w:val="24"/>
          <w:lang w:eastAsia="en-US"/>
        </w:rPr>
        <w:t xml:space="preserve">Срок гарантии </w:t>
      </w:r>
      <w:r w:rsidRPr="00B47A26">
        <w:rPr>
          <w:rFonts w:eastAsia="Calibri"/>
          <w:sz w:val="28"/>
          <w:szCs w:val="24"/>
          <w:lang w:eastAsia="en-US"/>
        </w:rPr>
        <w:t>– до 7 лет;</w:t>
      </w:r>
    </w:p>
    <w:p w:rsidR="00B47A26" w:rsidRPr="00B47A26" w:rsidRDefault="00B47A26" w:rsidP="00B47A26">
      <w:pPr>
        <w:numPr>
          <w:ilvl w:val="0"/>
          <w:numId w:val="2"/>
        </w:numPr>
        <w:overflowPunct/>
        <w:autoSpaceDE/>
        <w:autoSpaceDN/>
        <w:adjustRightInd/>
        <w:contextualSpacing/>
        <w:jc w:val="both"/>
        <w:textAlignment w:val="auto"/>
        <w:rPr>
          <w:rFonts w:eastAsia="Calibri"/>
          <w:b/>
          <w:sz w:val="28"/>
          <w:szCs w:val="24"/>
          <w:lang w:eastAsia="en-US"/>
        </w:rPr>
      </w:pPr>
      <w:r w:rsidRPr="00B47A26">
        <w:rPr>
          <w:rFonts w:eastAsia="Calibri"/>
          <w:b/>
          <w:sz w:val="28"/>
          <w:szCs w:val="24"/>
          <w:lang w:eastAsia="en-US" w:bidi="ru-RU"/>
        </w:rPr>
        <w:t xml:space="preserve">Доля гарантии – </w:t>
      </w:r>
      <w:r w:rsidRPr="00B47A26">
        <w:rPr>
          <w:rFonts w:eastAsia="Calibri"/>
          <w:sz w:val="28"/>
          <w:szCs w:val="24"/>
          <w:lang w:eastAsia="en-US"/>
        </w:rPr>
        <w:t>до 70% от суммы кредита;</w:t>
      </w:r>
    </w:p>
    <w:p w:rsidR="00B47A26" w:rsidRPr="00B47A26" w:rsidRDefault="00B47A26" w:rsidP="00B47A26">
      <w:pPr>
        <w:numPr>
          <w:ilvl w:val="0"/>
          <w:numId w:val="2"/>
        </w:numPr>
        <w:overflowPunct/>
        <w:autoSpaceDE/>
        <w:autoSpaceDN/>
        <w:adjustRightInd/>
        <w:contextualSpacing/>
        <w:textAlignment w:val="auto"/>
        <w:rPr>
          <w:rFonts w:eastAsia="Calibri"/>
          <w:b/>
          <w:sz w:val="28"/>
          <w:szCs w:val="24"/>
          <w:lang w:eastAsia="en-US" w:bidi="ru-RU"/>
        </w:rPr>
      </w:pPr>
      <w:r w:rsidRPr="00B47A26">
        <w:rPr>
          <w:rFonts w:eastAsia="Calibri"/>
          <w:b/>
          <w:sz w:val="28"/>
          <w:szCs w:val="24"/>
          <w:lang w:eastAsia="en-US"/>
        </w:rPr>
        <w:t xml:space="preserve">Размер вознаграждения – </w:t>
      </w:r>
      <w:r w:rsidRPr="00B47A26">
        <w:rPr>
          <w:rFonts w:eastAsia="Calibri"/>
          <w:sz w:val="28"/>
          <w:szCs w:val="24"/>
          <w:lang w:eastAsia="en-US" w:bidi="ru-RU"/>
        </w:rPr>
        <w:t xml:space="preserve">0,75-1,5% </w:t>
      </w:r>
      <w:proofErr w:type="gramStart"/>
      <w:r w:rsidRPr="00B47A26">
        <w:rPr>
          <w:rFonts w:eastAsia="Calibri"/>
          <w:sz w:val="28"/>
          <w:szCs w:val="24"/>
          <w:lang w:eastAsia="en-US" w:bidi="ru-RU"/>
        </w:rPr>
        <w:t>годовых</w:t>
      </w:r>
      <w:proofErr w:type="gramEnd"/>
      <w:r w:rsidRPr="00B47A26">
        <w:rPr>
          <w:rFonts w:eastAsia="Calibri"/>
          <w:sz w:val="28"/>
          <w:szCs w:val="24"/>
          <w:lang w:eastAsia="en-US" w:bidi="ru-RU"/>
        </w:rPr>
        <w:t xml:space="preserve"> от суммы гарантии.</w:t>
      </w:r>
    </w:p>
    <w:p w:rsidR="006963A0" w:rsidRPr="00AF66F3" w:rsidRDefault="006963A0" w:rsidP="006963A0">
      <w:pPr>
        <w:overflowPunct/>
        <w:autoSpaceDE/>
        <w:autoSpaceDN/>
        <w:adjustRightInd/>
        <w:spacing w:line="276" w:lineRule="auto"/>
        <w:ind w:firstLine="708"/>
        <w:jc w:val="both"/>
        <w:textAlignment w:val="auto"/>
        <w:rPr>
          <w:rFonts w:eastAsiaTheme="minorHAnsi"/>
          <w:sz w:val="28"/>
          <w:szCs w:val="28"/>
          <w:lang w:eastAsia="en-US"/>
        </w:rPr>
      </w:pPr>
      <w:r w:rsidRPr="00AF66F3">
        <w:rPr>
          <w:rFonts w:eastAsiaTheme="minorHAnsi"/>
          <w:sz w:val="28"/>
          <w:szCs w:val="28"/>
          <w:lang w:eastAsia="en-US"/>
        </w:rPr>
        <w:t>При возникновении вопросов просим обращаться к специалистам Фонда по телефону +7(843) 223-06-82 либо по e-</w:t>
      </w:r>
      <w:proofErr w:type="spellStart"/>
      <w:r w:rsidRPr="00AF66F3">
        <w:rPr>
          <w:rFonts w:eastAsiaTheme="minorHAnsi"/>
          <w:sz w:val="28"/>
          <w:szCs w:val="28"/>
          <w:lang w:eastAsia="en-US"/>
        </w:rPr>
        <w:t>mail</w:t>
      </w:r>
      <w:proofErr w:type="spellEnd"/>
      <w:r w:rsidRPr="00AF66F3">
        <w:rPr>
          <w:rFonts w:eastAsiaTheme="minorHAnsi"/>
          <w:sz w:val="28"/>
          <w:szCs w:val="28"/>
          <w:lang w:eastAsia="en-US"/>
        </w:rPr>
        <w:t xml:space="preserve">: </w:t>
      </w:r>
      <w:hyperlink r:id="rId9" w:history="1">
        <w:r w:rsidRPr="00AB2664">
          <w:rPr>
            <w:rStyle w:val="a3"/>
            <w:rFonts w:eastAsiaTheme="minorHAnsi"/>
            <w:sz w:val="28"/>
            <w:szCs w:val="28"/>
            <w:lang w:eastAsia="en-US"/>
          </w:rPr>
          <w:t>nigmatzyanova.guzel@yandex.ru</w:t>
        </w:r>
      </w:hyperlink>
      <w:r>
        <w:rPr>
          <w:rFonts w:eastAsiaTheme="minorHAnsi"/>
          <w:sz w:val="28"/>
          <w:szCs w:val="28"/>
          <w:lang w:eastAsia="en-US"/>
        </w:rPr>
        <w:t xml:space="preserve"> </w:t>
      </w:r>
      <w:r w:rsidRPr="00AF66F3">
        <w:rPr>
          <w:rFonts w:eastAsiaTheme="minorHAnsi"/>
          <w:sz w:val="28"/>
          <w:szCs w:val="28"/>
          <w:lang w:eastAsia="en-US"/>
        </w:rPr>
        <w:t xml:space="preserve"> или </w:t>
      </w:r>
      <w:r>
        <w:rPr>
          <w:rFonts w:eastAsiaTheme="minorHAnsi"/>
          <w:sz w:val="28"/>
          <w:szCs w:val="28"/>
          <w:lang w:eastAsia="en-US"/>
        </w:rPr>
        <w:br/>
      </w:r>
      <w:r w:rsidRPr="00AF66F3">
        <w:rPr>
          <w:rFonts w:eastAsiaTheme="minorHAnsi"/>
          <w:sz w:val="28"/>
          <w:szCs w:val="28"/>
          <w:lang w:eastAsia="en-US"/>
        </w:rPr>
        <w:t xml:space="preserve">к специалистам Министерства экономики Республики Татарстан по телефону </w:t>
      </w:r>
      <w:r>
        <w:rPr>
          <w:rFonts w:eastAsiaTheme="minorHAnsi"/>
          <w:sz w:val="28"/>
          <w:szCs w:val="28"/>
          <w:lang w:eastAsia="en-US"/>
        </w:rPr>
        <w:br/>
      </w:r>
      <w:r w:rsidRPr="00AF66F3">
        <w:rPr>
          <w:rFonts w:eastAsiaTheme="minorHAnsi"/>
          <w:sz w:val="28"/>
          <w:szCs w:val="28"/>
          <w:lang w:eastAsia="en-US"/>
        </w:rPr>
        <w:t>+7(843) 524-90-91 либо по e-</w:t>
      </w:r>
      <w:proofErr w:type="spellStart"/>
      <w:r w:rsidRPr="00AF66F3">
        <w:rPr>
          <w:rFonts w:eastAsiaTheme="minorHAnsi"/>
          <w:sz w:val="28"/>
          <w:szCs w:val="28"/>
          <w:lang w:eastAsia="en-US"/>
        </w:rPr>
        <w:t>mail</w:t>
      </w:r>
      <w:proofErr w:type="spellEnd"/>
      <w:r w:rsidRPr="00AF66F3">
        <w:rPr>
          <w:rFonts w:eastAsiaTheme="minorHAnsi"/>
          <w:sz w:val="28"/>
          <w:szCs w:val="28"/>
          <w:lang w:eastAsia="en-US"/>
        </w:rPr>
        <w:t xml:space="preserve">: </w:t>
      </w:r>
      <w:hyperlink r:id="rId10" w:history="1">
        <w:r w:rsidRPr="00AB2664">
          <w:rPr>
            <w:rStyle w:val="a3"/>
            <w:rFonts w:eastAsiaTheme="minorHAnsi"/>
            <w:sz w:val="28"/>
            <w:szCs w:val="28"/>
            <w:lang w:eastAsia="en-US"/>
          </w:rPr>
          <w:t>R.Nurtdinov@tatar.ru</w:t>
        </w:r>
      </w:hyperlink>
      <w:r>
        <w:rPr>
          <w:rFonts w:eastAsiaTheme="minorHAnsi"/>
          <w:sz w:val="28"/>
          <w:szCs w:val="28"/>
          <w:lang w:eastAsia="en-US"/>
        </w:rPr>
        <w:t xml:space="preserve"> </w:t>
      </w:r>
      <w:r w:rsidRPr="00AF66F3">
        <w:rPr>
          <w:rFonts w:eastAsiaTheme="minorHAnsi"/>
          <w:sz w:val="28"/>
          <w:szCs w:val="28"/>
          <w:lang w:eastAsia="en-US"/>
        </w:rPr>
        <w:t>.</w:t>
      </w:r>
      <w:r w:rsidRPr="00AF66F3">
        <w:rPr>
          <w:rFonts w:eastAsiaTheme="minorHAnsi"/>
          <w:sz w:val="28"/>
          <w:szCs w:val="28"/>
          <w:lang w:eastAsia="en-US"/>
        </w:rPr>
        <w:tab/>
      </w:r>
    </w:p>
    <w:bookmarkEnd w:id="0"/>
    <w:p w:rsidR="00FE3ABB" w:rsidRPr="00B47A26" w:rsidRDefault="00FE3ABB" w:rsidP="00B47A26">
      <w:pPr>
        <w:overflowPunct/>
        <w:autoSpaceDE/>
        <w:autoSpaceDN/>
        <w:adjustRightInd/>
        <w:jc w:val="both"/>
        <w:textAlignment w:val="auto"/>
        <w:outlineLvl w:val="2"/>
        <w:rPr>
          <w:b/>
          <w:bCs/>
          <w:sz w:val="28"/>
          <w:szCs w:val="28"/>
        </w:rPr>
      </w:pPr>
    </w:p>
    <w:sectPr w:rsidR="00FE3ABB" w:rsidRPr="00B47A26" w:rsidSect="008A5E6F">
      <w:pgSz w:w="11906" w:h="16838"/>
      <w:pgMar w:top="1134" w:right="567" w:bottom="1134"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BB4" w:rsidRDefault="007F6BB4">
      <w:r>
        <w:separator/>
      </w:r>
    </w:p>
  </w:endnote>
  <w:endnote w:type="continuationSeparator" w:id="0">
    <w:p w:rsidR="007F6BB4" w:rsidRDefault="007F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BB4" w:rsidRDefault="007F6BB4">
      <w:r>
        <w:separator/>
      </w:r>
    </w:p>
  </w:footnote>
  <w:footnote w:type="continuationSeparator" w:id="0">
    <w:p w:rsidR="007F6BB4" w:rsidRDefault="007F6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79E7539"/>
    <w:multiLevelType w:val="hybridMultilevel"/>
    <w:tmpl w:val="A1723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223AB"/>
    <w:rsid w:val="00022475"/>
    <w:rsid w:val="00023076"/>
    <w:rsid w:val="0002577C"/>
    <w:rsid w:val="00025780"/>
    <w:rsid w:val="0003560E"/>
    <w:rsid w:val="00041F50"/>
    <w:rsid w:val="00044F4E"/>
    <w:rsid w:val="00050C5F"/>
    <w:rsid w:val="00051AAE"/>
    <w:rsid w:val="000844CB"/>
    <w:rsid w:val="00096193"/>
    <w:rsid w:val="00096235"/>
    <w:rsid w:val="000A7E89"/>
    <w:rsid w:val="000B01BA"/>
    <w:rsid w:val="000B6E03"/>
    <w:rsid w:val="000C6342"/>
    <w:rsid w:val="000D23FE"/>
    <w:rsid w:val="000D3624"/>
    <w:rsid w:val="000E1000"/>
    <w:rsid w:val="000E1169"/>
    <w:rsid w:val="000F1617"/>
    <w:rsid w:val="000F2C00"/>
    <w:rsid w:val="00105976"/>
    <w:rsid w:val="0010620D"/>
    <w:rsid w:val="0011132B"/>
    <w:rsid w:val="00124663"/>
    <w:rsid w:val="001315CF"/>
    <w:rsid w:val="001335CD"/>
    <w:rsid w:val="00137504"/>
    <w:rsid w:val="00141ADC"/>
    <w:rsid w:val="00145D28"/>
    <w:rsid w:val="00147C57"/>
    <w:rsid w:val="001510E1"/>
    <w:rsid w:val="0015404A"/>
    <w:rsid w:val="001647CA"/>
    <w:rsid w:val="001739B0"/>
    <w:rsid w:val="00181847"/>
    <w:rsid w:val="00192B16"/>
    <w:rsid w:val="00196ABF"/>
    <w:rsid w:val="001C251C"/>
    <w:rsid w:val="001C2B15"/>
    <w:rsid w:val="001D10F2"/>
    <w:rsid w:val="001D16F8"/>
    <w:rsid w:val="001D2C1B"/>
    <w:rsid w:val="001E1EEC"/>
    <w:rsid w:val="001E30D8"/>
    <w:rsid w:val="001F0B59"/>
    <w:rsid w:val="0020101E"/>
    <w:rsid w:val="002077C6"/>
    <w:rsid w:val="0021064B"/>
    <w:rsid w:val="002201FC"/>
    <w:rsid w:val="00223262"/>
    <w:rsid w:val="00224932"/>
    <w:rsid w:val="00226A2B"/>
    <w:rsid w:val="00236850"/>
    <w:rsid w:val="00240B70"/>
    <w:rsid w:val="00241B2A"/>
    <w:rsid w:val="002436A4"/>
    <w:rsid w:val="00245DC3"/>
    <w:rsid w:val="00246305"/>
    <w:rsid w:val="0027379D"/>
    <w:rsid w:val="00286238"/>
    <w:rsid w:val="00296DD6"/>
    <w:rsid w:val="002A02BB"/>
    <w:rsid w:val="002A5217"/>
    <w:rsid w:val="002A55A4"/>
    <w:rsid w:val="002B6F51"/>
    <w:rsid w:val="002B7826"/>
    <w:rsid w:val="002D157D"/>
    <w:rsid w:val="002D1747"/>
    <w:rsid w:val="002D2A0D"/>
    <w:rsid w:val="002D4827"/>
    <w:rsid w:val="002D79A2"/>
    <w:rsid w:val="002E0303"/>
    <w:rsid w:val="002E295B"/>
    <w:rsid w:val="002E4E78"/>
    <w:rsid w:val="002E65CA"/>
    <w:rsid w:val="0030591C"/>
    <w:rsid w:val="00305992"/>
    <w:rsid w:val="003068BB"/>
    <w:rsid w:val="003260FA"/>
    <w:rsid w:val="00330619"/>
    <w:rsid w:val="00330ACA"/>
    <w:rsid w:val="00332DCA"/>
    <w:rsid w:val="00333761"/>
    <w:rsid w:val="00346448"/>
    <w:rsid w:val="00347407"/>
    <w:rsid w:val="0035231C"/>
    <w:rsid w:val="00353AC2"/>
    <w:rsid w:val="00357713"/>
    <w:rsid w:val="00381795"/>
    <w:rsid w:val="00382559"/>
    <w:rsid w:val="00386FAE"/>
    <w:rsid w:val="00396BF9"/>
    <w:rsid w:val="003A0027"/>
    <w:rsid w:val="003B19C3"/>
    <w:rsid w:val="003C26A4"/>
    <w:rsid w:val="003C3107"/>
    <w:rsid w:val="003C67B9"/>
    <w:rsid w:val="003C7117"/>
    <w:rsid w:val="003D4AE9"/>
    <w:rsid w:val="003D7877"/>
    <w:rsid w:val="003E6AEB"/>
    <w:rsid w:val="003F2CAE"/>
    <w:rsid w:val="004026EC"/>
    <w:rsid w:val="004045E9"/>
    <w:rsid w:val="00425CB4"/>
    <w:rsid w:val="00427978"/>
    <w:rsid w:val="00441197"/>
    <w:rsid w:val="00452CD3"/>
    <w:rsid w:val="004538FC"/>
    <w:rsid w:val="00462014"/>
    <w:rsid w:val="00466F5D"/>
    <w:rsid w:val="00474D91"/>
    <w:rsid w:val="00481F43"/>
    <w:rsid w:val="00484E88"/>
    <w:rsid w:val="00485076"/>
    <w:rsid w:val="00497D73"/>
    <w:rsid w:val="004A79AC"/>
    <w:rsid w:val="004B249D"/>
    <w:rsid w:val="004B7FDA"/>
    <w:rsid w:val="004D27F4"/>
    <w:rsid w:val="004D5FB5"/>
    <w:rsid w:val="004E29B8"/>
    <w:rsid w:val="004E7C33"/>
    <w:rsid w:val="004F1A88"/>
    <w:rsid w:val="004F4909"/>
    <w:rsid w:val="004F5CA7"/>
    <w:rsid w:val="00504CF0"/>
    <w:rsid w:val="00507725"/>
    <w:rsid w:val="00514A8A"/>
    <w:rsid w:val="00523BCE"/>
    <w:rsid w:val="00533AA2"/>
    <w:rsid w:val="00534285"/>
    <w:rsid w:val="005426AE"/>
    <w:rsid w:val="005458B4"/>
    <w:rsid w:val="005476CB"/>
    <w:rsid w:val="00551C06"/>
    <w:rsid w:val="00556563"/>
    <w:rsid w:val="005576D7"/>
    <w:rsid w:val="00557B07"/>
    <w:rsid w:val="00560D8E"/>
    <w:rsid w:val="00563DB0"/>
    <w:rsid w:val="0058037B"/>
    <w:rsid w:val="00591A32"/>
    <w:rsid w:val="00592A07"/>
    <w:rsid w:val="00592D4E"/>
    <w:rsid w:val="005937C6"/>
    <w:rsid w:val="005A1DD1"/>
    <w:rsid w:val="005A2434"/>
    <w:rsid w:val="005A6350"/>
    <w:rsid w:val="005C3174"/>
    <w:rsid w:val="005C62FA"/>
    <w:rsid w:val="005D623A"/>
    <w:rsid w:val="005D6A2A"/>
    <w:rsid w:val="005E20DD"/>
    <w:rsid w:val="005E4503"/>
    <w:rsid w:val="005E507E"/>
    <w:rsid w:val="005F2881"/>
    <w:rsid w:val="005F4C20"/>
    <w:rsid w:val="006033C7"/>
    <w:rsid w:val="0060606D"/>
    <w:rsid w:val="00613936"/>
    <w:rsid w:val="006226B0"/>
    <w:rsid w:val="006304D5"/>
    <w:rsid w:val="006308A4"/>
    <w:rsid w:val="00632B34"/>
    <w:rsid w:val="006505A5"/>
    <w:rsid w:val="0065488C"/>
    <w:rsid w:val="006572EC"/>
    <w:rsid w:val="0066274C"/>
    <w:rsid w:val="00664750"/>
    <w:rsid w:val="00665014"/>
    <w:rsid w:val="00670EC9"/>
    <w:rsid w:val="00686696"/>
    <w:rsid w:val="0068769A"/>
    <w:rsid w:val="006963A0"/>
    <w:rsid w:val="006B5709"/>
    <w:rsid w:val="006B64AE"/>
    <w:rsid w:val="006C0ADB"/>
    <w:rsid w:val="006C12E1"/>
    <w:rsid w:val="006D0667"/>
    <w:rsid w:val="006D464E"/>
    <w:rsid w:val="006E05C0"/>
    <w:rsid w:val="006E10D7"/>
    <w:rsid w:val="006F2DDD"/>
    <w:rsid w:val="006F4059"/>
    <w:rsid w:val="006F4318"/>
    <w:rsid w:val="007003B8"/>
    <w:rsid w:val="00732754"/>
    <w:rsid w:val="00735CB1"/>
    <w:rsid w:val="007512CF"/>
    <w:rsid w:val="00755DAA"/>
    <w:rsid w:val="00761664"/>
    <w:rsid w:val="00762FEA"/>
    <w:rsid w:val="007645CD"/>
    <w:rsid w:val="007737D2"/>
    <w:rsid w:val="00773FEA"/>
    <w:rsid w:val="0077405B"/>
    <w:rsid w:val="00776810"/>
    <w:rsid w:val="00777705"/>
    <w:rsid w:val="007937D4"/>
    <w:rsid w:val="007A0846"/>
    <w:rsid w:val="007A36C5"/>
    <w:rsid w:val="007A68C9"/>
    <w:rsid w:val="007B0AB9"/>
    <w:rsid w:val="007B3384"/>
    <w:rsid w:val="007C2704"/>
    <w:rsid w:val="007C7259"/>
    <w:rsid w:val="007E00A5"/>
    <w:rsid w:val="007E5073"/>
    <w:rsid w:val="007E7BC7"/>
    <w:rsid w:val="007F12BC"/>
    <w:rsid w:val="007F6BB4"/>
    <w:rsid w:val="00804A67"/>
    <w:rsid w:val="00823B31"/>
    <w:rsid w:val="008252EE"/>
    <w:rsid w:val="00832251"/>
    <w:rsid w:val="008404E0"/>
    <w:rsid w:val="00843CB8"/>
    <w:rsid w:val="008443C6"/>
    <w:rsid w:val="00846DBE"/>
    <w:rsid w:val="008471B3"/>
    <w:rsid w:val="008570DA"/>
    <w:rsid w:val="00872CE9"/>
    <w:rsid w:val="00874BDD"/>
    <w:rsid w:val="00890A9C"/>
    <w:rsid w:val="0089102C"/>
    <w:rsid w:val="008A5E6F"/>
    <w:rsid w:val="008B19C4"/>
    <w:rsid w:val="008B5383"/>
    <w:rsid w:val="008C389D"/>
    <w:rsid w:val="008E3E1B"/>
    <w:rsid w:val="008F0EC2"/>
    <w:rsid w:val="008F13FE"/>
    <w:rsid w:val="008F335F"/>
    <w:rsid w:val="00904294"/>
    <w:rsid w:val="00910143"/>
    <w:rsid w:val="00910347"/>
    <w:rsid w:val="0091116C"/>
    <w:rsid w:val="00916B68"/>
    <w:rsid w:val="009279F9"/>
    <w:rsid w:val="00937D41"/>
    <w:rsid w:val="00944E56"/>
    <w:rsid w:val="00945B44"/>
    <w:rsid w:val="0094722A"/>
    <w:rsid w:val="00960727"/>
    <w:rsid w:val="00962DF2"/>
    <w:rsid w:val="00977A23"/>
    <w:rsid w:val="00992654"/>
    <w:rsid w:val="00997207"/>
    <w:rsid w:val="009A066F"/>
    <w:rsid w:val="009A0999"/>
    <w:rsid w:val="009A74B8"/>
    <w:rsid w:val="009B0D60"/>
    <w:rsid w:val="009B1376"/>
    <w:rsid w:val="009B3AC9"/>
    <w:rsid w:val="009C5A1B"/>
    <w:rsid w:val="009C6073"/>
    <w:rsid w:val="009C6BCA"/>
    <w:rsid w:val="009E6C41"/>
    <w:rsid w:val="009E7885"/>
    <w:rsid w:val="009F2EC5"/>
    <w:rsid w:val="009F452D"/>
    <w:rsid w:val="009F475E"/>
    <w:rsid w:val="009F66EE"/>
    <w:rsid w:val="00A00422"/>
    <w:rsid w:val="00A06037"/>
    <w:rsid w:val="00A16BBD"/>
    <w:rsid w:val="00A3196B"/>
    <w:rsid w:val="00A33853"/>
    <w:rsid w:val="00A44A90"/>
    <w:rsid w:val="00A665E3"/>
    <w:rsid w:val="00A674FF"/>
    <w:rsid w:val="00A712A7"/>
    <w:rsid w:val="00A77BD4"/>
    <w:rsid w:val="00AA1B7B"/>
    <w:rsid w:val="00AA6D73"/>
    <w:rsid w:val="00AB5882"/>
    <w:rsid w:val="00AB7365"/>
    <w:rsid w:val="00AC2ADD"/>
    <w:rsid w:val="00AC5534"/>
    <w:rsid w:val="00AC6517"/>
    <w:rsid w:val="00AD531A"/>
    <w:rsid w:val="00AE1A99"/>
    <w:rsid w:val="00AE1F7E"/>
    <w:rsid w:val="00AE239F"/>
    <w:rsid w:val="00AE7A84"/>
    <w:rsid w:val="00AF051C"/>
    <w:rsid w:val="00AF37AD"/>
    <w:rsid w:val="00AF7323"/>
    <w:rsid w:val="00B10974"/>
    <w:rsid w:val="00B16750"/>
    <w:rsid w:val="00B3369F"/>
    <w:rsid w:val="00B40885"/>
    <w:rsid w:val="00B47A26"/>
    <w:rsid w:val="00B607F3"/>
    <w:rsid w:val="00B67128"/>
    <w:rsid w:val="00B71CA7"/>
    <w:rsid w:val="00B752D5"/>
    <w:rsid w:val="00B8440D"/>
    <w:rsid w:val="00B84952"/>
    <w:rsid w:val="00B8776C"/>
    <w:rsid w:val="00B961C8"/>
    <w:rsid w:val="00BA6DB9"/>
    <w:rsid w:val="00BB3C67"/>
    <w:rsid w:val="00BB6250"/>
    <w:rsid w:val="00BC3868"/>
    <w:rsid w:val="00BD4CD9"/>
    <w:rsid w:val="00BE1861"/>
    <w:rsid w:val="00BF2902"/>
    <w:rsid w:val="00BF3AB0"/>
    <w:rsid w:val="00C070D8"/>
    <w:rsid w:val="00C13C34"/>
    <w:rsid w:val="00C155E5"/>
    <w:rsid w:val="00C20F8A"/>
    <w:rsid w:val="00C26E72"/>
    <w:rsid w:val="00C30476"/>
    <w:rsid w:val="00C35E48"/>
    <w:rsid w:val="00C35E87"/>
    <w:rsid w:val="00C3629F"/>
    <w:rsid w:val="00C42831"/>
    <w:rsid w:val="00C43F95"/>
    <w:rsid w:val="00C50925"/>
    <w:rsid w:val="00C5637C"/>
    <w:rsid w:val="00C87A4C"/>
    <w:rsid w:val="00C97CA1"/>
    <w:rsid w:val="00CA05FC"/>
    <w:rsid w:val="00CA38DF"/>
    <w:rsid w:val="00CB1CFE"/>
    <w:rsid w:val="00CB3E28"/>
    <w:rsid w:val="00CC1ABD"/>
    <w:rsid w:val="00CC4DBF"/>
    <w:rsid w:val="00CE6ADC"/>
    <w:rsid w:val="00CF672E"/>
    <w:rsid w:val="00D16688"/>
    <w:rsid w:val="00D32EFD"/>
    <w:rsid w:val="00D33F5B"/>
    <w:rsid w:val="00D44029"/>
    <w:rsid w:val="00D441CE"/>
    <w:rsid w:val="00D45FE0"/>
    <w:rsid w:val="00D4764C"/>
    <w:rsid w:val="00D504B3"/>
    <w:rsid w:val="00D52A21"/>
    <w:rsid w:val="00D52E15"/>
    <w:rsid w:val="00D54EBD"/>
    <w:rsid w:val="00D60FBC"/>
    <w:rsid w:val="00D6169D"/>
    <w:rsid w:val="00D649C8"/>
    <w:rsid w:val="00D72919"/>
    <w:rsid w:val="00D92E25"/>
    <w:rsid w:val="00D9654D"/>
    <w:rsid w:val="00DA0D8E"/>
    <w:rsid w:val="00DA1DDD"/>
    <w:rsid w:val="00DC686F"/>
    <w:rsid w:val="00DD005B"/>
    <w:rsid w:val="00DD06D7"/>
    <w:rsid w:val="00DD4633"/>
    <w:rsid w:val="00DD5FDB"/>
    <w:rsid w:val="00DE1842"/>
    <w:rsid w:val="00DE6EED"/>
    <w:rsid w:val="00E12D79"/>
    <w:rsid w:val="00E16CB5"/>
    <w:rsid w:val="00E20309"/>
    <w:rsid w:val="00E213EF"/>
    <w:rsid w:val="00E25A23"/>
    <w:rsid w:val="00E57EED"/>
    <w:rsid w:val="00E603E3"/>
    <w:rsid w:val="00E66941"/>
    <w:rsid w:val="00E70D10"/>
    <w:rsid w:val="00E80195"/>
    <w:rsid w:val="00E81C14"/>
    <w:rsid w:val="00E90985"/>
    <w:rsid w:val="00E90986"/>
    <w:rsid w:val="00E9797C"/>
    <w:rsid w:val="00EA196B"/>
    <w:rsid w:val="00EA34AF"/>
    <w:rsid w:val="00EB355C"/>
    <w:rsid w:val="00EE125F"/>
    <w:rsid w:val="00EF323C"/>
    <w:rsid w:val="00EF6277"/>
    <w:rsid w:val="00EF710D"/>
    <w:rsid w:val="00F06C17"/>
    <w:rsid w:val="00F10F7D"/>
    <w:rsid w:val="00F13E93"/>
    <w:rsid w:val="00F230B4"/>
    <w:rsid w:val="00F322B5"/>
    <w:rsid w:val="00F35354"/>
    <w:rsid w:val="00F3717A"/>
    <w:rsid w:val="00F4219F"/>
    <w:rsid w:val="00F539E2"/>
    <w:rsid w:val="00F61CF0"/>
    <w:rsid w:val="00F6308F"/>
    <w:rsid w:val="00F64A51"/>
    <w:rsid w:val="00F75CEA"/>
    <w:rsid w:val="00F76582"/>
    <w:rsid w:val="00F76EE3"/>
    <w:rsid w:val="00F8048C"/>
    <w:rsid w:val="00F877AD"/>
    <w:rsid w:val="00FA2484"/>
    <w:rsid w:val="00FB4B31"/>
    <w:rsid w:val="00FB639B"/>
    <w:rsid w:val="00FC1CEA"/>
    <w:rsid w:val="00FD02BD"/>
    <w:rsid w:val="00FD0DCD"/>
    <w:rsid w:val="00FD40AE"/>
    <w:rsid w:val="00FD433E"/>
    <w:rsid w:val="00FE1AD7"/>
    <w:rsid w:val="00FE3ABB"/>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uiPriority w:val="59"/>
    <w:locked/>
    <w:rsid w:val="00B47A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uiPriority w:val="59"/>
    <w:locked/>
    <w:rsid w:val="00B47A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Nurtdinov@tatar.ru" TargetMode="External"/><Relationship Id="rId4" Type="http://schemas.microsoft.com/office/2007/relationships/stylesWithEffects" Target="stylesWithEffects.xml"/><Relationship Id="rId9" Type="http://schemas.openxmlformats.org/officeDocument/2006/relationships/hyperlink" Target="mailto:nigmatzyanova.guzel@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62D3C-F2BA-4E86-A250-B16E6C45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2015-05-26T14:10:00Z</cp:lastPrinted>
  <dcterms:created xsi:type="dcterms:W3CDTF">2016-03-28T04:50:00Z</dcterms:created>
  <dcterms:modified xsi:type="dcterms:W3CDTF">2016-03-28T04:52:00Z</dcterms:modified>
</cp:coreProperties>
</file>